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1184" w:type="dxa"/>
        <w:jc w:val="left"/>
        <w:tblInd w:w="12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184"/>
      </w:tblGrid>
      <w:tr>
        <w:tblPrEx>
          <w:shd w:val="clear" w:color="auto" w:fill="ced7e7"/>
        </w:tblPrEx>
        <w:trPr>
          <w:trHeight w:val="5087" w:hRule="atLeast"/>
        </w:trPr>
        <w:tc>
          <w:tcPr>
            <w:tcW w:type="dxa" w:w="111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sz w:val="20"/>
                <w:szCs w:val="20"/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998525" cy="998525"/>
                  <wp:effectExtent l="0" t="0" r="0" b="0"/>
                  <wp:docPr id="1073741825" name="officeArt object" descr="loudoun_county_seal_n128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udoun_county_seal_n12815.png" descr="loudoun_county_seal_n12815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525" cy="99852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ENGINEERS AND SURVEYORS INSTITUTE</w:t>
            </w:r>
          </w:p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                  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 public/private partnership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”</w:t>
            </w:r>
          </w:p>
          <w:p>
            <w:pPr>
              <w:pStyle w:val="Heading 3"/>
              <w:jc w:val="center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  <w:lang w:val="en-US"/>
              </w:rPr>
              <w:t xml:space="preserve">                        </w:t>
            </w:r>
            <w:r>
              <w:rPr>
                <w:shd w:val="nil" w:color="auto" w:fill="auto"/>
                <w:rtl w:val="0"/>
                <w:lang w:val="en-US"/>
              </w:rPr>
              <w:t>LOUDOUN COUNTY, VIRGINIA</w:t>
            </w:r>
          </w:p>
          <w:p>
            <w:pPr>
              <w:pStyle w:val="Heading 1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                   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MINIMUM SUBMISSION REQUIREMENTS</w:t>
            </w:r>
          </w:p>
          <w:p>
            <w:pPr>
              <w:pStyle w:val="Normal.0"/>
              <w:jc w:val="center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Heading 1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                          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PRELIMINARY PLAT OF SUBDIVISION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(SBPL)</w:t>
            </w: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  <w:tab/>
            </w:r>
          </w:p>
          <w:p>
            <w:pPr>
              <w:pStyle w:val="Normal.0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PROJECT NAME &amp; NUMBER:______________________________________________________________________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SUBMITTING FIRM: ____________________________________________ PHONE #:________________________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PROJ. COORD: ______________________________________ E-MAIL ADDRESS:___________________________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DPE NAME: ______________________________</w:t>
            </w:r>
            <w:r>
              <w:rPr>
                <w:rFonts w:ascii="Times New Roman" w:cs="Times New Roman" w:hAnsi="Times New Roman" w:eastAsia="Times New Roman"/>
                <w:sz w:val="22"/>
                <w:szCs w:val="22"/>
                <w:shd w:val="nil" w:color="auto" w:fill="auto"/>
                <w:rtl w:val="0"/>
                <w:lang w:val="en-US"/>
              </w:rPr>
              <w:softHyphen/>
              <w:softHyphen/>
              <w:softHyphen/>
              <w:softHyphen/>
              <w:softHyphen/>
              <w:softHyphen/>
              <w:softHyphen/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DPE#: _____ E-MAIL ADDRESS:__________________________</w:t>
            </w:r>
          </w:p>
          <w:p>
            <w:pPr>
              <w:pStyle w:val="Normal.0"/>
              <w:bidi w:val="0"/>
              <w:spacing w:line="360" w:lineRule="auto"/>
              <w:ind w:left="0" w:right="18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en-US"/>
              </w:rPr>
              <w:t>REVIEW DATE: _______________________ ESI REVIEW TEAM:________________________________________</w:t>
            </w:r>
          </w:p>
        </w:tc>
      </w:tr>
    </w:tbl>
    <w:p>
      <w:pPr>
        <w:pStyle w:val="Normal.0"/>
        <w:widowControl w:val="0"/>
        <w:ind w:left="18" w:hanging="18"/>
      </w:pPr>
    </w:p>
    <w:p>
      <w:pPr>
        <w:pStyle w:val="Plain Text"/>
        <w:ind w:left="270" w:firstLine="0"/>
      </w:pPr>
    </w:p>
    <w:p>
      <w:pPr>
        <w:pStyle w:val="Plain Text"/>
        <w:ind w:left="270" w:firstLine="0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Note:</w:t>
      </w:r>
      <w:r>
        <w:rPr>
          <w:rFonts w:ascii="Times New Roman" w:hAnsi="Times New Roman"/>
          <w:rtl w:val="0"/>
          <w:lang w:val="en-US"/>
        </w:rPr>
        <w:t xml:space="preserve"> </w:t>
      </w:r>
      <w:r>
        <w:rPr>
          <w:rFonts w:ascii="Times New Roman" w:hAnsi="Times New Roman"/>
          <w:rtl w:val="0"/>
          <w:lang w:val="en-US"/>
        </w:rPr>
        <w:t>(Column abbreviations: OK = Addressed; REV = Revisions required; N/A = Not Applicable)</w:t>
      </w:r>
    </w:p>
    <w:p>
      <w:pPr>
        <w:pStyle w:val="Header"/>
        <w:tabs>
          <w:tab w:val="clear" w:pos="4320"/>
          <w:tab w:val="clear" w:pos="8640"/>
        </w:tabs>
        <w:rPr>
          <w:rFonts w:ascii="Times New Roman" w:cs="Times New Roman" w:hAnsi="Times New Roman" w:eastAsia="Times New Roman"/>
        </w:rPr>
      </w:pPr>
    </w:p>
    <w:tbl>
      <w:tblPr>
        <w:tblW w:w="11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51"/>
        <w:gridCol w:w="5790"/>
        <w:gridCol w:w="686"/>
        <w:gridCol w:w="687"/>
        <w:gridCol w:w="686"/>
        <w:gridCol w:w="686"/>
        <w:gridCol w:w="686"/>
      </w:tblGrid>
      <w:tr>
        <w:tblPrEx>
          <w:shd w:val="clear" w:color="auto" w:fill="4f81bd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Code Reference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lain Text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Description                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Sheet 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OK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REV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N/A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ing 1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Line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Title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Preliminary Plat of Subdivision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2.a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&amp; FSM 8.102.A.2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Scale: Lots 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&lt;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3 Ac., 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= 100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max; Lots &gt; 3 Ac., 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= 200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North Arrow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 .4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Date on Coversheet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8.102.A.5 &amp;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8.101.A.2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name of subdivision or development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8.102.A.6.a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Name and address of the owner of record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8.102.A.6.b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Name of applicant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8.102.A.6.c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Name of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licensed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engineer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(PE)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 surveyor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who prepared the plat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8.102.A.7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Number of sheets included in plat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8.101.A.3 &amp;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8.102.A.8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Revision block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8.101.A.4 &amp;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8.102.A.9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Source of title (DB/PG or Instr. No.)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8.101.A.5 &amp;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Zoning requirements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FSM 8.101.A.5.b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Applicable Zoning Ordinance version (1972, 1993 or Rev. 1993)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Zoning district/overlay zoning districts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Minimum lot area 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Minimum lot width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Maximum length / width ratio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Minimum front, side, rear yards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Maximum F.A.R.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19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Maximum building coverage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Maximum building height(s)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21</w:t>
            </w:r>
          </w:p>
        </w:tc>
      </w:tr>
      <w:tr>
        <w:tblPrEx>
          <w:shd w:val="clear" w:color="auto" w:fill="ced7e7"/>
        </w:tblPrEx>
        <w:trPr>
          <w:trHeight w:val="284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Parking spaces required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Parking spaces provided, including standard and handicapped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use(s)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24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number of lots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Open space requirements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8.102.10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Substantial Conformance Note (for plats w/ rezonings or special exceptions)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– “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 development within this subdiv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…”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8.102.A.11 &amp; FSM 8.101.A.6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Associated land development application info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(Applicable case #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 and approval dates)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28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8.102.A.12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Election district &amp; Loudoun County, VA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itle block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29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8.102.A.13 &amp; FSM 8.101.A.7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Vicinity map: 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= 2000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.a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Ex. perimeter boundary line of subdivision/site plan &amp;/or of any larger tract of which the subdivision and/or site plan forms a part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Adjoining roads or principal access points w/ names and route nos.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.c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Town boundaries within 1 mile of subdivision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.d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North arrow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8.102.A.14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Boundary lines, total acreage of subdivision and acreage remaining in original tract, if any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35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8.102.A.15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lot lines w/approximate dimensions, proposed block and lot numbers, and approx. area of each lot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36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8.102.A.16 &amp; FSM 8.101.A.8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Coordinate grid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and 3 labeled tics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(min.)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per plan sheet using NAD 1983 HARN (NAD 27 permitted for projects started prior to 11/9/2009)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37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8.102.A.17 &amp; FSM 8.101.A.9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Adjoining property information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MCPI (PIN) zoning, departing property lines, use.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38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8.102.A.18 &amp; FSM 8.101.A.10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Zoning district overlay and jurisdictional boundaries depicted when more than one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zoning district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39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8.102.A.19 &amp; FSM 8.101.A.16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MCPI (PIN) reference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Approximate location of existing building(s) within subdivision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41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8.102.A.21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location, width, centerline and projected ADT of each road or public or private way w/in subdivision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8.102.A.21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sidewalks and trails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 if required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43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8.102.A.22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Location, width, centerline &amp; ADT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 of adjoining roads and access easements with names and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/or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route numbers.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8.102.A.23 &amp; Codified Ord.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approved and/or reserved road names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45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8.102.A.24 &amp; FSM 8.101.A.1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Proposed yard and setback lines shown on plat or in table. Dimension from each lot line &amp; length of front yard line clearly illustrated &amp; identified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46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4.200.A.2.b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LSDO 1245.05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Approx. location and area to be dedicated/ reserved for public, ROW or common use of property owners in subdivision. Location of existing and proposed conservation easements.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47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8.102.A.26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Watercourse locations and names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&amp; boundaries of FOD or prop. boundaries of FP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48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8.101.A.20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ource of floodplain note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: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There is no FP . . 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”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OR 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There is FP . . 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General location of existing drainage ways, ponds, springs, on-site sewage disposal, on-site water supply systems and existing &amp; proposed public water and sewer lines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49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8.102.A.2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8.101.A.21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Archaeology note (note not required if Arch. Survey not performed)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Location of a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rchaeological sites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historical structures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, human cemeteries, burial grounds, graves, historic districts &amp; historic landmarks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on-site 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if identified by an Archaeological Survey, if applic.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50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&amp; FSM 8.101.A.17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Current topographic information: date, by what means and NAVD 1988 ref. (NVGD 29 ok if started prior to 11/9/2009); contours 5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51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FSM 8.102.A.31</w:t>
            </w:r>
          </w:p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8.101.A.17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Forest areas vegetated cover shown w/ champion trees identified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52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Times New Roman" w:hAnsi="Times New Roman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&amp; FSM 8.101.A.12       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Stakeout Note 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53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LDN 65 and 60 aircraft noise contours shown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graphically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 areas within one mile of the LDN 60 contour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&amp; FSM 8.101.A.13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Approval block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55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Proffered preservation areas clearly delineated (e.g., trees, structures, etc.)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56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For lots &lt; 20,000 SF, typical lot detail at 1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=50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max.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57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Lot yield tabulation for Cluster or Principal/Subordinate option in AR-1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 AR-2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58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Wetlands data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rtl w:val="0"/>
                <w:lang w:val="en-US"/>
              </w:rPr>
              <w:t>as follows: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59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8.a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7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Potential jurisdictional waters &amp; wetlands as identified by LDN Co. Predictive Wetlands Model or a consultant wetland delineation performed and depicted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8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8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left"/>
              <w:outlineLvl w:val="9"/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Note referencing source of wetland info depicted, incl. Corps JD No. &amp; date, if it exists, and indicating that all applic. state &amp; fed. permits shall be obtained prior to disturbances w/in juris. waters &amp; wetlands.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8.102.A.3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Very Steep and Moderately Steep Slope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Areas 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Scenic Creek Valley Buffer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boundaries &amp; other Co. environ. buffers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61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41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Soils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ap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ertification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62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8.102.A.4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Overlay districts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8.101.A.18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Seal, signature &amp; date of PE or LS on each sheet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8.101.A.19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Surveyors Certificate endorsed by PE or LS w/ source of title (DB/PG or Instr. No.)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&amp; place of record of last instrument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65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8.102.B.1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LSDO 1245.10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6.210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Approved drain field locations.  Health Department approval letter of sewage disposal system.  Approval letter for well locations or an approved hydrogeologic report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66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4.200.A.2.f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Reserve (spite) strips prohibited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67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4.200.A.2.g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 PDH Districts, no more than 80 dwelling units permitted by a single point of access directly to publicly maintained roadways or indirectly to publicly maintained roadways via an access easement.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68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4.310.A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Roads configured to 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void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FP, if possible, &amp; limit stream crossings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69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4.310.B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Road intx.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angles as near to 90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°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 possible (80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°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min.)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70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4.310.C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Road jogs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Centerline offsets 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225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for Cat. A roads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71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4.310.D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Public or Cat. A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private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road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intxs.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align with existing or planned road intersections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72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4.310</w:t>
            </w:r>
            <w:r>
              <w:rPr>
                <w:rFonts w:ascii="Times New Roman" w:hAnsi="Times New Roman"/>
                <w:sz w:val="20"/>
                <w:szCs w:val="20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Cul-de-sac maximum lengths: Commercial Retail/ Industrial and Office = 1500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; Rural non-residential = 3500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; MF = 1000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; SFA = 1500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; SFD 1 unit or more per Ac = 2500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; SFD 1 unit per Ac = 3500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 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73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ZO 5-900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Setbacks from specific roads and W&amp;OD Trail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ZO 7-100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A.D.U.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provided for sites w/ </w:t>
            </w:r>
            <w:r>
              <w:rPr>
                <w:rFonts w:ascii="Times New Roman" w:hAnsi="Times New Roman"/>
                <w:sz w:val="20"/>
                <w:szCs w:val="20"/>
                <w:u w:val="single"/>
                <w:shd w:val="nil" w:color="auto" w:fill="auto"/>
                <w:rtl w:val="0"/>
                <w:lang w:val="en-US"/>
              </w:rPr>
              <w:t>&gt;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50 D.U.</w:t>
            </w:r>
            <w:r>
              <w:rPr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 at density; &gt; 1 unit/ 40,000SF &amp; served by public water/sewer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75</w:t>
            </w:r>
          </w:p>
        </w:tc>
      </w:tr>
      <w:tr>
        <w:tblPrEx>
          <w:shd w:val="clear" w:color="auto" w:fill="ced7e7"/>
        </w:tblPrEx>
        <w:trPr>
          <w:trHeight w:val="22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8.102.B.4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Phase 1 Archeological  Survey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76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8.102.B.5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Documentation of Preliminary Soils review submission or application for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imestone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Overlay District or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Mountainside Dev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elopment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77</w:t>
            </w:r>
          </w:p>
        </w:tc>
      </w:tr>
      <w:tr>
        <w:tblPrEx>
          <w:shd w:val="clear" w:color="auto" w:fill="ced7e7"/>
        </w:tblPrEx>
        <w:trPr>
          <w:trHeight w:val="66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8.102.B.6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Letter from VA DCR identifying natural heritage resources onsite or stmt. of NONE. If endangered or threatened species survey has been completed, copy of report included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78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185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FSM 8.102.B.7</w:t>
            </w:r>
          </w:p>
        </w:tc>
        <w:tc>
          <w:tcPr>
            <w:tcW w:type="dxa" w:w="57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If applicable, plan &amp; analysis of VDOT connectivity reqs. &amp; locations of stub outstreets</w:t>
            </w:r>
          </w:p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/>
                <w:sz w:val="20"/>
                <w:szCs w:val="20"/>
                <w:rtl w:val="0"/>
              </w:rPr>
              <w:t>79</w:t>
            </w:r>
          </w:p>
        </w:tc>
      </w:tr>
    </w:tbl>
    <w:p>
      <w:pPr>
        <w:pStyle w:val="Header"/>
        <w:widowControl w:val="0"/>
        <w:tabs>
          <w:tab w:val="clear" w:pos="4320"/>
          <w:tab w:val="clear" w:pos="8640"/>
        </w:tabs>
      </w:pPr>
      <w:r>
        <w:rPr>
          <w:rFonts w:ascii="Times New Roman" w:cs="Times New Roman" w:hAnsi="Times New Roman" w:eastAsia="Times New Roman"/>
        </w:rPr>
      </w:r>
    </w:p>
    <w:sectPr>
      <w:headerReference w:type="default" r:id="rId5"/>
      <w:footerReference w:type="default" r:id="rId6"/>
      <w:pgSz w:w="12240" w:h="15840" w:orient="portrait"/>
      <w:pgMar w:top="432" w:right="432" w:bottom="662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10710"/>
        <w:tab w:val="clear" w:pos="8640"/>
      </w:tabs>
    </w:pPr>
    <w:r>
      <w:rPr>
        <w:rFonts w:ascii="Times New Roman" w:hAnsi="Times New Roman"/>
        <w:rtl w:val="0"/>
        <w:lang w:val="en-US"/>
      </w:rPr>
      <w:t>6/9/23</w:t>
    </w:r>
    <w:r>
      <w:rPr>
        <w:rFonts w:ascii="Times New Roman" w:cs="Times New Roman" w:hAnsi="Times New Roman" w:eastAsia="Times New Roman"/>
        <w:rtl w:val="0"/>
      </w:rPr>
      <w:tab/>
      <w:t xml:space="preserve">                                          Page </w:t>
    </w:r>
    <w:r>
      <w:rPr>
        <w:rFonts w:ascii="Times New Roman" w:cs="Times New Roman" w:hAnsi="Times New Roman" w:eastAsia="Times New Roman"/>
        <w:rtl w:val="0"/>
      </w:rPr>
      <w:fldChar w:fldCharType="begin" w:fldLock="0"/>
    </w:r>
    <w:r>
      <w:rPr>
        <w:rFonts w:ascii="Times New Roman" w:cs="Times New Roman" w:hAnsi="Times New Roman" w:eastAsia="Times New Roman"/>
        <w:rtl w:val="0"/>
      </w:rPr>
      <w:instrText xml:space="preserve"> PAGE </w:instrText>
    </w:r>
    <w:r>
      <w:rPr>
        <w:rFonts w:ascii="Times New Roman" w:cs="Times New Roman" w:hAnsi="Times New Roman" w:eastAsia="Times New Roman"/>
        <w:rtl w:val="0"/>
      </w:rPr>
      <w:fldChar w:fldCharType="separate" w:fldLock="0"/>
    </w:r>
    <w:r>
      <w:rPr>
        <w:rFonts w:ascii="Times New Roman" w:cs="Times New Roman" w:hAnsi="Times New Roman" w:eastAsia="Times New Roman"/>
        <w:rtl w:val="0"/>
      </w:rPr>
    </w:r>
    <w:r>
      <w:rPr>
        <w:rFonts w:ascii="Times New Roman" w:cs="Times New Roman" w:hAnsi="Times New Roman" w:eastAsia="Times New Roman"/>
        <w:rtl w:val="0"/>
      </w:rPr>
      <w:fldChar w:fldCharType="end" w:fldLock="0"/>
    </w:r>
    <w:r>
      <w:rPr>
        <w:rFonts w:ascii="Times New Roman" w:hAnsi="Times New Roman"/>
        <w:rtl w:val="0"/>
        <w:lang w:val="en-US"/>
      </w:rPr>
      <w:t xml:space="preserve"> of </w:t>
    </w:r>
    <w:r>
      <w:rPr>
        <w:rFonts w:ascii="Times New Roman" w:cs="Times New Roman" w:hAnsi="Times New Roman" w:eastAsia="Times New Roman"/>
        <w:rtl w:val="0"/>
      </w:rPr>
      <w:fldChar w:fldCharType="begin" w:fldLock="0"/>
    </w:r>
    <w:r>
      <w:rPr>
        <w:rFonts w:ascii="Times New Roman" w:cs="Times New Roman" w:hAnsi="Times New Roman" w:eastAsia="Times New Roman"/>
        <w:rtl w:val="0"/>
      </w:rPr>
      <w:instrText xml:space="preserve"> NUMPAGES </w:instrText>
    </w:r>
    <w:r>
      <w:rPr>
        <w:rFonts w:ascii="Times New Roman" w:cs="Times New Roman" w:hAnsi="Times New Roman" w:eastAsia="Times New Roman"/>
        <w:rtl w:val="0"/>
      </w:rPr>
      <w:fldChar w:fldCharType="separate" w:fldLock="0"/>
    </w:r>
    <w:r>
      <w:rPr>
        <w:rFonts w:ascii="Times New Roman" w:cs="Times New Roman" w:hAnsi="Times New Roman" w:eastAsia="Times New Roman"/>
        <w:rtl w:val="0"/>
      </w:rPr>
    </w:r>
    <w:r>
      <w:rPr>
        <w:rFonts w:ascii="Times New Roman" w:cs="Times New Roman" w:hAnsi="Times New Roman" w:eastAsia="Times New Roman"/>
        <w:rtl w:val="0"/>
      </w:rPr>
      <w:fldChar w:fldCharType="end" w:fldLock="0"/>
    </w:r>
    <w:r>
      <w:rPr>
        <w:rFonts w:ascii="Times New Roman" w:cs="Times New Roman" w:hAnsi="Times New Roman" w:eastAsia="Times New Roman"/>
      </w:rPr>
      <w:tab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Plain Text">
    <w:name w:val="Plain Text"/>
    <w:next w:val="Plain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Courier New" w:hAnsi="Courier New" w:eastAsia="Courier New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